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4A7FA" w14:textId="378DAF51" w:rsidR="003C1D86" w:rsidRDefault="005B13F5" w:rsidP="00CA007E">
      <w:pPr>
        <w:spacing w:after="120" w:line="360" w:lineRule="auto"/>
        <w:jc w:val="right"/>
        <w:rPr>
          <w:rFonts w:ascii="Arial" w:hAnsi="Arial" w:cs="Arial"/>
          <w:sz w:val="22"/>
          <w:szCs w:val="22"/>
        </w:rPr>
      </w:pPr>
      <w:bookmarkStart w:id="0" w:name="OLE_LINK48"/>
      <w:r>
        <w:rPr>
          <w:rFonts w:ascii="Arial" w:hAnsi="Arial"/>
          <w:noProof/>
          <w:sz w:val="22"/>
        </w:rPr>
        <w:drawing>
          <wp:inline distT="0" distB="0" distL="0" distR="0" wp14:anchorId="518B93DC" wp14:editId="02CB8F7D">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email">
                      <a:extLst>
                        <a:ext uri="{28A0092B-C50C-407E-A947-70E740481C1C}">
                          <a14:useLocalDpi xmlns:a14="http://schemas.microsoft.com/office/drawing/2010/main"/>
                        </a:ext>
                      </a:extLst>
                    </a:blip>
                    <a:stretch>
                      <a:fillRect/>
                    </a:stretch>
                  </pic:blipFill>
                  <pic:spPr>
                    <a:xfrm>
                      <a:off x="0" y="0"/>
                      <a:ext cx="3542400" cy="1594800"/>
                    </a:xfrm>
                    <a:prstGeom prst="rect">
                      <a:avLst/>
                    </a:prstGeom>
                  </pic:spPr>
                </pic:pic>
              </a:graphicData>
            </a:graphic>
          </wp:inline>
        </w:drawing>
      </w:r>
    </w:p>
    <w:p w14:paraId="4EECD93D" w14:textId="51A3C5F0" w:rsidR="00917010" w:rsidRPr="00947A94" w:rsidRDefault="00917010" w:rsidP="00917010">
      <w:pPr>
        <w:numPr>
          <w:ilvl w:val="0"/>
          <w:numId w:val="1"/>
        </w:numPr>
        <w:spacing w:after="120" w:line="360" w:lineRule="auto"/>
        <w:ind w:left="426" w:hanging="426"/>
        <w:rPr>
          <w:rFonts w:ascii="Arial" w:hAnsi="Arial" w:cs="Arial"/>
          <w:b/>
          <w:sz w:val="22"/>
          <w:szCs w:val="22"/>
        </w:rPr>
      </w:pPr>
      <w:bookmarkStart w:id="1" w:name="OLE_LINK6"/>
      <w:bookmarkStart w:id="2" w:name="OLE_LINK5"/>
      <w:bookmarkStart w:id="3" w:name="OLE_LINK52"/>
      <w:bookmarkStart w:id="4" w:name="OLE_LINK16"/>
      <w:bookmarkStart w:id="5" w:name="OLE_LINK49"/>
      <w:bookmarkStart w:id="6" w:name="OLE_LINK62"/>
      <w:bookmarkStart w:id="7" w:name="OLE_LINK63"/>
      <w:bookmarkEnd w:id="1"/>
      <w:bookmarkEnd w:id="2"/>
      <w:r>
        <w:rPr>
          <w:rFonts w:ascii="Arial" w:hAnsi="Arial"/>
          <w:b/>
          <w:sz w:val="22"/>
        </w:rPr>
        <w:t>BBG establece nuevos estándares con Vertipour: la primera solución del mundo para el encapsulamiento vertical de vidrio</w:t>
      </w:r>
    </w:p>
    <w:p w14:paraId="71D12F3A" w14:textId="57D205D8" w:rsidR="00917010" w:rsidRPr="00947A94" w:rsidRDefault="00917010" w:rsidP="00917010">
      <w:pPr>
        <w:numPr>
          <w:ilvl w:val="0"/>
          <w:numId w:val="1"/>
        </w:numPr>
        <w:spacing w:after="120" w:line="360" w:lineRule="auto"/>
        <w:ind w:left="426" w:hanging="426"/>
        <w:rPr>
          <w:rFonts w:ascii="Arial" w:hAnsi="Arial" w:cs="Arial"/>
          <w:b/>
          <w:sz w:val="22"/>
          <w:szCs w:val="22"/>
        </w:rPr>
      </w:pPr>
      <w:r>
        <w:rPr>
          <w:rFonts w:ascii="Arial" w:hAnsi="Arial"/>
          <w:b/>
          <w:sz w:val="22"/>
        </w:rPr>
        <w:t>La tecnología compacta es más eficiente, ergonómica y económica</w:t>
      </w:r>
    </w:p>
    <w:p w14:paraId="04CA5335" w14:textId="1A98996D" w:rsidR="00396AFA" w:rsidRPr="0072209A" w:rsidRDefault="0072209A" w:rsidP="0072209A">
      <w:pPr>
        <w:spacing w:after="120" w:line="360" w:lineRule="auto"/>
        <w:rPr>
          <w:rFonts w:ascii="Arial" w:hAnsi="Arial"/>
          <w:sz w:val="22"/>
        </w:rPr>
      </w:pPr>
      <w:bookmarkStart w:id="8" w:name="OLE_LINK61"/>
      <w:bookmarkStart w:id="9" w:name="OLE_LINK51"/>
      <w:bookmarkEnd w:id="3"/>
      <w:bookmarkEnd w:id="4"/>
      <w:bookmarkEnd w:id="8"/>
      <w:bookmarkEnd w:id="9"/>
      <w:proofErr w:type="spellStart"/>
      <w:r w:rsidRPr="0072209A">
        <w:rPr>
          <w:rFonts w:ascii="Arial" w:hAnsi="Arial"/>
          <w:i/>
          <w:iCs/>
          <w:sz w:val="22"/>
        </w:rPr>
        <w:t>Mindelheim</w:t>
      </w:r>
      <w:proofErr w:type="spellEnd"/>
      <w:r w:rsidRPr="0072209A">
        <w:rPr>
          <w:rFonts w:ascii="Arial" w:hAnsi="Arial"/>
          <w:i/>
          <w:iCs/>
          <w:sz w:val="22"/>
        </w:rPr>
        <w:t>/Alemania, 20 de octubre de 2025.</w:t>
      </w:r>
      <w:r w:rsidRPr="0072209A">
        <w:rPr>
          <w:rFonts w:ascii="Arial" w:hAnsi="Arial"/>
          <w:sz w:val="22"/>
        </w:rPr>
        <w:t xml:space="preserve"> </w:t>
      </w:r>
      <w:r w:rsidR="005A1960">
        <w:rPr>
          <w:rFonts w:ascii="Arial" w:hAnsi="Arial"/>
          <w:sz w:val="22"/>
        </w:rPr>
        <w:t xml:space="preserve">BBG, socio participante en sistemas destinados a la industria de la transformación de plásticos, presenta </w:t>
      </w:r>
      <w:bookmarkStart w:id="10" w:name="OLE_LINK25"/>
      <w:bookmarkStart w:id="11" w:name="OLE_LINK14"/>
      <w:proofErr w:type="gramStart"/>
      <w:r w:rsidR="005A1960">
        <w:rPr>
          <w:rFonts w:ascii="Arial" w:hAnsi="Arial"/>
          <w:sz w:val="22"/>
        </w:rPr>
        <w:t xml:space="preserve">Vertipour </w:t>
      </w:r>
      <w:bookmarkEnd w:id="10"/>
      <w:r w:rsidR="005A1960">
        <w:rPr>
          <w:rFonts w:ascii="Arial" w:hAnsi="Arial"/>
          <w:sz w:val="22"/>
        </w:rPr>
        <w:t>,</w:t>
      </w:r>
      <w:proofErr w:type="gramEnd"/>
      <w:r w:rsidR="005A1960">
        <w:rPr>
          <w:rFonts w:ascii="Arial" w:hAnsi="Arial"/>
          <w:sz w:val="22"/>
        </w:rPr>
        <w:t xml:space="preserve"> un novedoso procedimiento para encapsular láminas de vidrio con poliuretano (PUR). </w:t>
      </w:r>
      <w:bookmarkEnd w:id="11"/>
    </w:p>
    <w:p w14:paraId="7C77045C" w14:textId="62A33128" w:rsidR="00854436" w:rsidRPr="0071663D" w:rsidRDefault="00860F0D" w:rsidP="00917010">
      <w:pPr>
        <w:spacing w:after="120" w:line="360" w:lineRule="auto"/>
        <w:rPr>
          <w:rFonts w:ascii="Arial" w:hAnsi="Arial" w:cs="Arial"/>
          <w:bCs/>
          <w:sz w:val="22"/>
          <w:szCs w:val="22"/>
        </w:rPr>
      </w:pPr>
      <w:r>
        <w:rPr>
          <w:rFonts w:ascii="Arial" w:hAnsi="Arial"/>
          <w:sz w:val="22"/>
        </w:rPr>
        <w:t xml:space="preserve">El proceso de encapsulamiento vertical mejora sustancialmente la calidad de los componentes, especialmente en el acabado de cristales grandes: permite reducir la cantidad de burbujas y defectos de flujo, y mejora la fusión del </w:t>
      </w:r>
      <w:bookmarkStart w:id="12" w:name="OLE_LINK19"/>
      <w:r>
        <w:rPr>
          <w:rFonts w:ascii="Arial" w:hAnsi="Arial"/>
          <w:sz w:val="22"/>
        </w:rPr>
        <w:t>PUR y el vidrio</w:t>
      </w:r>
      <w:bookmarkEnd w:id="12"/>
      <w:r>
        <w:rPr>
          <w:rFonts w:ascii="Arial" w:hAnsi="Arial"/>
          <w:sz w:val="22"/>
        </w:rPr>
        <w:t>.  De este modo, también se pueden encapsular fácilmente las áreas con paredes delgadas.</w:t>
      </w:r>
    </w:p>
    <w:p w14:paraId="292912A0" w14:textId="4644B7E3" w:rsidR="00860F0D" w:rsidRPr="0071663D" w:rsidRDefault="00854436" w:rsidP="00917010">
      <w:pPr>
        <w:spacing w:after="120" w:line="360" w:lineRule="auto"/>
        <w:rPr>
          <w:rFonts w:ascii="Arial" w:hAnsi="Arial" w:cs="Arial"/>
          <w:bCs/>
          <w:sz w:val="22"/>
          <w:szCs w:val="22"/>
        </w:rPr>
      </w:pPr>
      <w:r>
        <w:rPr>
          <w:rFonts w:ascii="Arial" w:hAnsi="Arial"/>
          <w:sz w:val="22"/>
        </w:rPr>
        <w:t>La ergonomía ofrece, en comparación con los procesos convencionales, más ventajas y facilita la accesibilidad de ambas mitades de la herramienta. Para alcanzarlas, el usuario únicamente tiene que dar medio giro.</w:t>
      </w:r>
    </w:p>
    <w:p w14:paraId="6AC43169" w14:textId="29FB8625" w:rsidR="00917010" w:rsidRPr="007879FC" w:rsidRDefault="0051217A" w:rsidP="00917010">
      <w:pPr>
        <w:spacing w:after="120" w:line="360" w:lineRule="auto"/>
        <w:rPr>
          <w:rFonts w:ascii="Arial" w:hAnsi="Arial" w:cs="Arial"/>
          <w:bCs/>
          <w:sz w:val="22"/>
          <w:szCs w:val="22"/>
        </w:rPr>
      </w:pPr>
      <w:r>
        <w:rPr>
          <w:rFonts w:ascii="Arial" w:hAnsi="Arial"/>
          <w:sz w:val="22"/>
        </w:rPr>
        <w:t xml:space="preserve">La complejidad del equipo disminuye los gastos de inversión. Al mismo tiempo, esta novedad minimiza el consumo de material y energía durante el proceso de encapsulamiento. Además, las herramientas Vertipour se pueden transportar y almacenar sin ocupar mucho espacio. </w:t>
      </w:r>
    </w:p>
    <w:p w14:paraId="16A4DE1D" w14:textId="77777777" w:rsidR="0004405A" w:rsidRPr="00917010" w:rsidRDefault="0004405A" w:rsidP="0004405A">
      <w:pPr>
        <w:spacing w:after="120" w:line="360" w:lineRule="auto"/>
        <w:rPr>
          <w:rFonts w:ascii="Arial" w:hAnsi="Arial" w:cs="Arial"/>
          <w:bCs/>
          <w:sz w:val="22"/>
          <w:szCs w:val="22"/>
        </w:rPr>
      </w:pPr>
      <w:r>
        <w:rPr>
          <w:rFonts w:ascii="Arial" w:hAnsi="Arial"/>
          <w:b/>
          <w:sz w:val="22"/>
        </w:rPr>
        <w:t>Ventajas para el cliente</w:t>
      </w:r>
    </w:p>
    <w:p w14:paraId="48FF532B" w14:textId="62327780" w:rsidR="0004405A" w:rsidRPr="007879FC" w:rsidRDefault="0004405A" w:rsidP="0004405A">
      <w:pPr>
        <w:spacing w:after="120" w:line="360" w:lineRule="auto"/>
        <w:rPr>
          <w:rFonts w:ascii="Arial" w:hAnsi="Arial" w:cs="Arial"/>
          <w:bCs/>
          <w:sz w:val="22"/>
          <w:szCs w:val="22"/>
        </w:rPr>
      </w:pPr>
      <w:r>
        <w:rPr>
          <w:rFonts w:ascii="Arial" w:hAnsi="Arial"/>
          <w:sz w:val="22"/>
        </w:rPr>
        <w:t xml:space="preserve">Mientras que, hasta ahora, los procesos de encapsulamiento de vidrio se realizaban en sentido horizontal, con Vertipour, BBG le da un giro de 90 grados al proceso. El nombre se compone de </w:t>
      </w:r>
      <w:r>
        <w:rPr>
          <w:rFonts w:ascii="Arial" w:hAnsi="Arial"/>
          <w:i/>
          <w:iCs/>
          <w:sz w:val="22"/>
        </w:rPr>
        <w:t xml:space="preserve">verti </w:t>
      </w:r>
      <w:r>
        <w:rPr>
          <w:rFonts w:ascii="Arial" w:hAnsi="Arial"/>
          <w:sz w:val="22"/>
        </w:rPr>
        <w:t xml:space="preserve">(de la palabra vertical) y de </w:t>
      </w:r>
      <w:r>
        <w:rPr>
          <w:rFonts w:ascii="Arial" w:hAnsi="Arial"/>
          <w:i/>
          <w:iCs/>
          <w:sz w:val="22"/>
        </w:rPr>
        <w:t>pour</w:t>
      </w:r>
      <w:r>
        <w:rPr>
          <w:rFonts w:ascii="Arial" w:hAnsi="Arial"/>
          <w:sz w:val="22"/>
        </w:rPr>
        <w:t>, el término inglés para encapsulado. Las láminas de vidrio se encapsulan en posición vertical, de forma similar a una máquina de moldeo por inyección.</w:t>
      </w:r>
    </w:p>
    <w:p w14:paraId="4DE9CDCF" w14:textId="3FA8AACB" w:rsidR="00311567" w:rsidRDefault="0051217A" w:rsidP="0004405A">
      <w:pPr>
        <w:spacing w:after="120" w:line="360" w:lineRule="auto"/>
        <w:rPr>
          <w:rFonts w:ascii="Arial" w:hAnsi="Arial"/>
          <w:sz w:val="22"/>
        </w:rPr>
      </w:pPr>
      <w:r>
        <w:rPr>
          <w:rFonts w:ascii="Arial" w:hAnsi="Arial"/>
          <w:sz w:val="22"/>
        </w:rPr>
        <w:t xml:space="preserve">La sencillez del diseño reduce los gastos de fabricación. Para el encapsulamiento basta con un eje y una dirección de movimiento, en lugar de los cuatro o cinco ejes que requieren los sistemas convencionales. El diseño permite reducir el tiempo de programación, por lo que también se puede utilizar un tipo de control más sencillo. </w:t>
      </w:r>
    </w:p>
    <w:p w14:paraId="1D895EC9" w14:textId="38B83180" w:rsidR="0004405A" w:rsidRDefault="0004405A" w:rsidP="0004405A">
      <w:pPr>
        <w:spacing w:after="120" w:line="360" w:lineRule="auto"/>
        <w:rPr>
          <w:rFonts w:ascii="Arial" w:hAnsi="Arial" w:cs="Arial"/>
          <w:bCs/>
          <w:sz w:val="22"/>
          <w:szCs w:val="22"/>
        </w:rPr>
      </w:pPr>
      <w:r>
        <w:rPr>
          <w:rFonts w:ascii="Arial" w:hAnsi="Arial"/>
          <w:sz w:val="22"/>
        </w:rPr>
        <w:t xml:space="preserve">Su consumo energético es significativamente menor gracias a la sencillez mecánica, lo que redunda en una mejor eficiencia energética. También permite ahorrar material, ya que, gracias </w:t>
      </w:r>
      <w:r>
        <w:rPr>
          <w:rFonts w:ascii="Arial" w:hAnsi="Arial"/>
          <w:sz w:val="22"/>
        </w:rPr>
        <w:lastRenderedPageBreak/>
        <w:t>a la mejora de las propiedades de flujo, se necesitan menos puntos de ventilación en el molde de inyección para, por ejemplo, tetones roscados, nervaduras, pasadores y estrechamientos.</w:t>
      </w:r>
    </w:p>
    <w:p w14:paraId="3A05FDAA" w14:textId="7CB18FC5" w:rsidR="0004405A" w:rsidRPr="00917010" w:rsidRDefault="008531CC" w:rsidP="0004405A">
      <w:pPr>
        <w:spacing w:after="120" w:line="360" w:lineRule="auto"/>
        <w:rPr>
          <w:rFonts w:ascii="Arial" w:hAnsi="Arial" w:cs="Arial"/>
          <w:bCs/>
          <w:sz w:val="22"/>
          <w:szCs w:val="22"/>
        </w:rPr>
      </w:pPr>
      <w:r>
        <w:rPr>
          <w:rFonts w:ascii="Arial" w:hAnsi="Arial"/>
          <w:sz w:val="22"/>
        </w:rPr>
        <w:t>Ofrece asimismo la posibilidad de transportar y almacenar las herramientas en posición vertical, lo cual permite ahorrar espacio. Por último, pero no por ello menos importante, el diseño del sistema facilita la automatización, de modo que la limpieza, la aplicación de desmoldeantes, la colocación de componentes y la retirada pueden realizarse mediante control robótico.</w:t>
      </w:r>
    </w:p>
    <w:p w14:paraId="03A86E3A" w14:textId="77777777" w:rsidR="00917010" w:rsidRPr="00917010" w:rsidRDefault="00917010" w:rsidP="00917010">
      <w:pPr>
        <w:spacing w:after="120" w:line="360" w:lineRule="auto"/>
        <w:rPr>
          <w:rFonts w:ascii="Arial" w:hAnsi="Arial" w:cs="Arial"/>
          <w:bCs/>
          <w:sz w:val="22"/>
          <w:szCs w:val="22"/>
        </w:rPr>
      </w:pPr>
      <w:r>
        <w:rPr>
          <w:rFonts w:ascii="Arial" w:hAnsi="Arial"/>
          <w:b/>
          <w:sz w:val="22"/>
        </w:rPr>
        <w:t>Cambio de paradigma en el procesamiento del vidrio</w:t>
      </w:r>
    </w:p>
    <w:p w14:paraId="09A2EEF0" w14:textId="1C89728C" w:rsidR="009C1A5F" w:rsidRPr="007879FC" w:rsidRDefault="00396AFA" w:rsidP="00917010">
      <w:pPr>
        <w:spacing w:after="120" w:line="360" w:lineRule="auto"/>
        <w:rPr>
          <w:rFonts w:ascii="Arial" w:hAnsi="Arial" w:cs="Arial"/>
          <w:bCs/>
          <w:sz w:val="22"/>
          <w:szCs w:val="22"/>
        </w:rPr>
      </w:pPr>
      <w:r>
        <w:rPr>
          <w:rFonts w:ascii="Arial" w:hAnsi="Arial"/>
          <w:sz w:val="22"/>
        </w:rPr>
        <w:t>Con esta innovación, BBG responde a los retos que plantea el constante aumento del tamaño de los acristalamientos de vehículos. Desde la aparición de los primeros techos panorámicos en los años 80 del siglo pasado, las dimensiones de los cristales no han dejado de crecer. Como consecuencia, los moldes de espuma y los sistemas de soporte de moldes también se volvieron más grandes, complejos y caros. Cada vez era más difícil realizar un diseño ergonómico de las máquinas, lo que se unió a un aumento de los costes.</w:t>
      </w:r>
    </w:p>
    <w:p w14:paraId="387D72D4" w14:textId="03C72354" w:rsidR="00917010" w:rsidRPr="00917010" w:rsidRDefault="00917010" w:rsidP="00917010">
      <w:pPr>
        <w:spacing w:after="120" w:line="360" w:lineRule="auto"/>
        <w:rPr>
          <w:rFonts w:ascii="Arial" w:hAnsi="Arial" w:cs="Arial"/>
          <w:bCs/>
          <w:sz w:val="22"/>
          <w:szCs w:val="22"/>
        </w:rPr>
      </w:pPr>
      <w:r>
        <w:rPr>
          <w:rFonts w:ascii="Arial" w:hAnsi="Arial"/>
          <w:b/>
          <w:sz w:val="22"/>
        </w:rPr>
        <w:t>Avances gracias a la simulación y las pruebas prácticas</w:t>
      </w:r>
    </w:p>
    <w:p w14:paraId="74BFE6B4" w14:textId="3B90481B" w:rsidR="008531CC" w:rsidRPr="0071663D" w:rsidRDefault="00917010" w:rsidP="00917010">
      <w:pPr>
        <w:spacing w:after="120" w:line="360" w:lineRule="auto"/>
        <w:rPr>
          <w:rFonts w:ascii="Arial" w:hAnsi="Arial" w:cs="Arial"/>
          <w:bCs/>
          <w:sz w:val="22"/>
          <w:szCs w:val="22"/>
        </w:rPr>
      </w:pPr>
      <w:r>
        <w:rPr>
          <w:rFonts w:ascii="Arial" w:hAnsi="Arial"/>
          <w:sz w:val="22"/>
        </w:rPr>
        <w:t xml:space="preserve">Por ello, los desarrolladores y diseñadores de BBG se han vuelto a plantear de cero el tema del encapsulamiento de vidrio. «Las primeras </w:t>
      </w:r>
      <w:bookmarkStart w:id="13" w:name="OLE_LINK4"/>
      <w:r>
        <w:rPr>
          <w:rFonts w:ascii="Arial" w:hAnsi="Arial"/>
          <w:sz w:val="22"/>
        </w:rPr>
        <w:t>simulaciones de flujo muestran unos resultados prometedores», comenta</w:t>
      </w:r>
      <w:bookmarkStart w:id="14" w:name="OLE_LINK24"/>
      <w:r>
        <w:t xml:space="preserve"> </w:t>
      </w:r>
      <w:r>
        <w:rPr>
          <w:rFonts w:ascii="Arial" w:hAnsi="Arial"/>
          <w:sz w:val="22"/>
        </w:rPr>
        <w:t>Bernhard Satzger, director del proyecto</w:t>
      </w:r>
      <w:bookmarkEnd w:id="14"/>
      <w:r>
        <w:rPr>
          <w:rFonts w:ascii="Arial" w:hAnsi="Arial"/>
          <w:sz w:val="22"/>
        </w:rPr>
        <w:t xml:space="preserve">. </w:t>
      </w:r>
      <w:r>
        <w:t>«</w:t>
      </w:r>
      <w:r>
        <w:rPr>
          <w:rFonts w:ascii="Arial" w:hAnsi="Arial"/>
          <w:sz w:val="22"/>
        </w:rPr>
        <w:t>La posterior fabricación de láminas de prueba</w:t>
      </w:r>
      <w:bookmarkEnd w:id="13"/>
      <w:r w:rsidR="00311567">
        <w:rPr>
          <w:rFonts w:ascii="Arial" w:hAnsi="Arial"/>
          <w:sz w:val="22"/>
        </w:rPr>
        <w:t xml:space="preserve"> </w:t>
      </w:r>
      <w:r>
        <w:rPr>
          <w:rFonts w:ascii="Arial" w:hAnsi="Arial"/>
          <w:sz w:val="22"/>
        </w:rPr>
        <w:t>confirmó el potencial de esta solución».</w:t>
      </w:r>
    </w:p>
    <w:p w14:paraId="6D9022B2" w14:textId="395E611A" w:rsidR="00917010" w:rsidRPr="00917010" w:rsidRDefault="00917010" w:rsidP="00917010">
      <w:pPr>
        <w:spacing w:after="120" w:line="360" w:lineRule="auto"/>
        <w:rPr>
          <w:rFonts w:ascii="Arial" w:hAnsi="Arial" w:cs="Arial"/>
          <w:bCs/>
          <w:sz w:val="22"/>
          <w:szCs w:val="22"/>
        </w:rPr>
      </w:pPr>
      <w:r>
        <w:rPr>
          <w:rFonts w:ascii="Arial" w:hAnsi="Arial"/>
          <w:b/>
          <w:sz w:val="22"/>
        </w:rPr>
        <w:t>Grupos destinatarios y aplicaciones</w:t>
      </w:r>
    </w:p>
    <w:p w14:paraId="0AFC7E70" w14:textId="42454CBE" w:rsidR="005B5AD2" w:rsidRPr="0071663D" w:rsidRDefault="00917010" w:rsidP="005B5AD2">
      <w:pPr>
        <w:spacing w:after="120" w:line="360" w:lineRule="auto"/>
        <w:rPr>
          <w:rFonts w:ascii="Arial" w:hAnsi="Arial" w:cs="Arial"/>
          <w:bCs/>
          <w:sz w:val="22"/>
          <w:szCs w:val="22"/>
        </w:rPr>
      </w:pPr>
      <w:r>
        <w:rPr>
          <w:rFonts w:ascii="Arial" w:hAnsi="Arial"/>
          <w:sz w:val="22"/>
        </w:rPr>
        <w:t>La solución Vertipour está dirigida principalmente a empresas dedicadas al acabado de vidrio destinado a la industria automovilística, la construcción naval y la fabricación de módulos fotovoltaicos. Dadas sus grandes ventajas, el proceso de llenado vertical de PUR también se puede aplicar a los procesadores de poliuretano de otros sectores.</w:t>
      </w:r>
    </w:p>
    <w:p w14:paraId="4D8FF795" w14:textId="138B47DC" w:rsidR="00917010" w:rsidRPr="005B5AD2" w:rsidRDefault="003E55AD" w:rsidP="00917010">
      <w:pPr>
        <w:spacing w:after="120" w:line="360" w:lineRule="auto"/>
        <w:rPr>
          <w:rFonts w:ascii="Arial" w:hAnsi="Arial" w:cs="Arial"/>
          <w:bCs/>
          <w:sz w:val="22"/>
          <w:szCs w:val="22"/>
        </w:rPr>
      </w:pPr>
      <w:r>
        <w:rPr>
          <w:rFonts w:ascii="Arial" w:hAnsi="Arial"/>
          <w:sz w:val="22"/>
        </w:rPr>
        <w:t>Vertipur de BBG ofrece una solución modular completa que incluye un sistema de soporte de moldes, componentes periféricos, módulos de automatización y herramientas.</w:t>
      </w:r>
    </w:p>
    <w:p w14:paraId="7F6226D6" w14:textId="77777777" w:rsidR="005B5AD2" w:rsidRDefault="005B5AD2" w:rsidP="00CA007E">
      <w:pPr>
        <w:spacing w:after="120" w:line="360" w:lineRule="auto"/>
        <w:rPr>
          <w:rFonts w:ascii="Arial" w:hAnsi="Arial" w:cs="Arial"/>
          <w:bCs/>
          <w:color w:val="EE0000"/>
          <w:sz w:val="22"/>
          <w:szCs w:val="22"/>
        </w:rPr>
      </w:pPr>
      <w:bookmarkStart w:id="15" w:name="OLE_LINK23"/>
    </w:p>
    <w:p w14:paraId="3CDEE660" w14:textId="01DC66D8" w:rsidR="00BF4F64" w:rsidRDefault="00BF4F64" w:rsidP="00CA007E">
      <w:pPr>
        <w:spacing w:after="120" w:line="360" w:lineRule="auto"/>
        <w:rPr>
          <w:rFonts w:ascii="Arial" w:hAnsi="Arial" w:cs="Arial"/>
          <w:sz w:val="22"/>
          <w:szCs w:val="22"/>
        </w:rPr>
      </w:pPr>
      <w:r>
        <w:rPr>
          <w:rFonts w:ascii="Arial" w:hAnsi="Arial"/>
          <w:b/>
          <w:sz w:val="22"/>
        </w:rPr>
        <w:t xml:space="preserve">Los clientes de </w:t>
      </w:r>
      <w:bookmarkEnd w:id="15"/>
      <w:r>
        <w:rPr>
          <w:rFonts w:ascii="Arial" w:hAnsi="Arial"/>
          <w:b/>
          <w:sz w:val="22"/>
        </w:rPr>
        <w:t>BBG operan en todo el mundo</w:t>
      </w:r>
    </w:p>
    <w:p w14:paraId="4E38B85B" w14:textId="712F46D5" w:rsidR="00BF4F64" w:rsidRPr="00196329" w:rsidRDefault="00BF4F64" w:rsidP="00CA007E">
      <w:pPr>
        <w:spacing w:after="120" w:line="360" w:lineRule="auto"/>
        <w:rPr>
          <w:rFonts w:ascii="Arial" w:hAnsi="Arial" w:cs="Arial"/>
          <w:bCs/>
          <w:sz w:val="22"/>
          <w:szCs w:val="22"/>
        </w:rPr>
      </w:pPr>
      <w:bookmarkStart w:id="16" w:name="OLE_LINK17"/>
      <w:r>
        <w:rPr>
          <w:rFonts w:ascii="Arial" w:hAnsi="Arial"/>
          <w:sz w:val="22"/>
        </w:rPr>
        <w:t xml:space="preserve">BBG GmbH &amp; Co. KG es un socio internacional de sistemas destinados </w:t>
      </w:r>
      <w:bookmarkStart w:id="17" w:name="OLE_LINK13"/>
      <w:r>
        <w:rPr>
          <w:rFonts w:ascii="Arial" w:hAnsi="Arial"/>
          <w:sz w:val="22"/>
        </w:rPr>
        <w:t>a la industria de transformación de plásticos</w:t>
      </w:r>
      <w:bookmarkEnd w:id="17"/>
      <w:r>
        <w:rPr>
          <w:rFonts w:ascii="Arial" w:hAnsi="Arial"/>
          <w:sz w:val="22"/>
        </w:rPr>
        <w:t xml:space="preserve"> </w:t>
      </w:r>
      <w:bookmarkEnd w:id="16"/>
      <w:r>
        <w:rPr>
          <w:rFonts w:ascii="Arial" w:hAnsi="Arial"/>
          <w:sz w:val="22"/>
        </w:rPr>
        <w:t xml:space="preserve">con fabricación propia de </w:t>
      </w:r>
      <w:bookmarkStart w:id="18" w:name="OLE_LINK18"/>
      <w:r>
        <w:rPr>
          <w:rFonts w:ascii="Arial" w:hAnsi="Arial"/>
          <w:sz w:val="22"/>
        </w:rPr>
        <w:t>herramientas, máquinas y equipos.</w:t>
      </w:r>
      <w:bookmarkEnd w:id="18"/>
      <w:r>
        <w:rPr>
          <w:rFonts w:ascii="Arial" w:hAnsi="Arial"/>
          <w:sz w:val="22"/>
        </w:rPr>
        <w:t xml:space="preserve"> Además de plantas completas de producción, BBG diseña, desarrolla y</w:t>
      </w:r>
      <w:r w:rsidR="005D7CEF">
        <w:rPr>
          <w:rFonts w:ascii="Arial" w:hAnsi="Arial"/>
          <w:sz w:val="22"/>
        </w:rPr>
        <w:t xml:space="preserve"> </w:t>
      </w:r>
      <w:r>
        <w:rPr>
          <w:rFonts w:ascii="Arial" w:hAnsi="Arial"/>
          <w:sz w:val="22"/>
        </w:rPr>
        <w:t>fabrica herramientas para el procesamiento de poliuretano (PUR), PVC, TPE y otros elastómeros, así como para una amplia gama de materiales compuestos de fibra.  Otros campos de interés son las soluciones para la construcción con materiales ligeros, el procesado</w:t>
      </w:r>
      <w:r w:rsidR="00311567">
        <w:rPr>
          <w:rFonts w:ascii="Arial" w:hAnsi="Arial"/>
          <w:sz w:val="22"/>
        </w:rPr>
        <w:t xml:space="preserve"> </w:t>
      </w:r>
      <w:r>
        <w:rPr>
          <w:rFonts w:ascii="Arial" w:hAnsi="Arial"/>
          <w:sz w:val="22"/>
        </w:rPr>
        <w:t xml:space="preserve">de materiales compuestos y la fabricación de componentes elaborados con materiales compuestos de fibra para numerosos sectores industriales. </w:t>
      </w:r>
    </w:p>
    <w:p w14:paraId="71055FD6" w14:textId="03975684" w:rsidR="00BF4F64" w:rsidRPr="00196329" w:rsidRDefault="00BF4F64" w:rsidP="00CA007E">
      <w:pPr>
        <w:spacing w:after="120" w:line="360" w:lineRule="auto"/>
        <w:rPr>
          <w:rFonts w:ascii="Arial" w:hAnsi="Arial" w:cs="Arial"/>
          <w:bCs/>
          <w:sz w:val="22"/>
          <w:szCs w:val="22"/>
        </w:rPr>
      </w:pPr>
      <w:r>
        <w:rPr>
          <w:rFonts w:ascii="Arial" w:hAnsi="Arial"/>
          <w:sz w:val="22"/>
        </w:rPr>
        <w:lastRenderedPageBreak/>
        <w:t>La empresa familiar de Mindelheim, ubicada en la región de Allgäu y administrada por Hans</w:t>
      </w:r>
      <w:r w:rsidR="00311567">
        <w:rPr>
          <w:rFonts w:ascii="Arial" w:hAnsi="Arial"/>
          <w:sz w:val="22"/>
        </w:rPr>
        <w:t xml:space="preserve"> </w:t>
      </w:r>
      <w:r>
        <w:rPr>
          <w:rFonts w:ascii="Arial" w:hAnsi="Arial"/>
          <w:sz w:val="22"/>
        </w:rPr>
        <w:t>Brandner, suministra a sus clientes de todo el mundo, con especial atención a los mercados de Estados Unidos, Europa y Asia.  La empresa mantiene filiales en China, EE. UU. y México. En el año 2024, el grupo, compuesto por aproximadamente 170 empleados, registró una facturación de 27 millones de euros.</w:t>
      </w:r>
      <w:bookmarkStart w:id="19" w:name="OLE_LINK8"/>
      <w:bookmarkStart w:id="20" w:name="OLE_LINK7"/>
      <w:bookmarkStart w:id="21" w:name="OLE_LINK2"/>
      <w:bookmarkStart w:id="22" w:name="OLE_LINK1"/>
      <w:bookmarkEnd w:id="19"/>
      <w:bookmarkEnd w:id="20"/>
      <w:bookmarkEnd w:id="21"/>
      <w:bookmarkEnd w:id="22"/>
    </w:p>
    <w:bookmarkEnd w:id="5"/>
    <w:p w14:paraId="6337654E" w14:textId="77777777" w:rsidR="00C13C4E" w:rsidRDefault="00C13C4E" w:rsidP="00CA007E">
      <w:pPr>
        <w:spacing w:after="120" w:line="360" w:lineRule="auto"/>
        <w:rPr>
          <w:rFonts w:ascii="Arial" w:hAnsi="Arial" w:cs="Arial"/>
          <w:b/>
          <w:sz w:val="22"/>
          <w:szCs w:val="22"/>
        </w:rPr>
      </w:pPr>
    </w:p>
    <w:p w14:paraId="58947210" w14:textId="479611D8" w:rsidR="003C1D86" w:rsidRDefault="005A1960" w:rsidP="00CA007E">
      <w:pPr>
        <w:spacing w:after="120" w:line="360" w:lineRule="auto"/>
        <w:rPr>
          <w:rFonts w:ascii="Arial" w:hAnsi="Arial" w:cs="Arial"/>
          <w:b/>
          <w:sz w:val="22"/>
          <w:szCs w:val="22"/>
        </w:rPr>
      </w:pPr>
      <w:r>
        <w:rPr>
          <w:rFonts w:ascii="Arial" w:hAnsi="Arial"/>
          <w:b/>
          <w:sz w:val="22"/>
        </w:rPr>
        <w:t xml:space="preserve">Imágenes: </w:t>
      </w:r>
    </w:p>
    <w:p w14:paraId="0C05DD2D" w14:textId="5C8F7F5F" w:rsidR="001928B2" w:rsidRDefault="00917010" w:rsidP="00CA007E">
      <w:pPr>
        <w:spacing w:after="120" w:line="360" w:lineRule="auto"/>
        <w:rPr>
          <w:rFonts w:ascii="Arial" w:hAnsi="Arial" w:cs="Arial"/>
          <w:bCs/>
          <w:color w:val="EE0000"/>
          <w:sz w:val="22"/>
          <w:szCs w:val="22"/>
        </w:rPr>
      </w:pPr>
      <w:bookmarkStart w:id="23" w:name="OLE_LINK68"/>
      <w:bookmarkStart w:id="24" w:name="OLE_LINK69"/>
      <w:r>
        <w:rPr>
          <w:rFonts w:ascii="Arial" w:hAnsi="Arial"/>
          <w:noProof/>
          <w:color w:val="EE0000"/>
          <w:sz w:val="22"/>
        </w:rPr>
        <w:drawing>
          <wp:inline distT="0" distB="0" distL="0" distR="0" wp14:anchorId="081655FA" wp14:editId="54AB44AB">
            <wp:extent cx="5400000" cy="5257895"/>
            <wp:effectExtent l="12700" t="12700" r="10795" b="12700"/>
            <wp:docPr id="1494899441" name="Grafik 1" descr="Ein Bild, das Kopier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899441" name="Grafik 1" descr="Ein Bild, das Kopierer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5257895"/>
                    </a:xfrm>
                    <a:prstGeom prst="rect">
                      <a:avLst/>
                    </a:prstGeom>
                    <a:ln>
                      <a:solidFill>
                        <a:schemeClr val="accent1"/>
                      </a:solidFill>
                    </a:ln>
                  </pic:spPr>
                </pic:pic>
              </a:graphicData>
            </a:graphic>
          </wp:inline>
        </w:drawing>
      </w:r>
    </w:p>
    <w:p w14:paraId="7A2F431B" w14:textId="7BC88AFA" w:rsidR="0004405A" w:rsidRDefault="0004405A" w:rsidP="00CA007E">
      <w:pPr>
        <w:spacing w:after="120" w:line="360" w:lineRule="auto"/>
        <w:rPr>
          <w:rFonts w:ascii="Arial" w:hAnsi="Arial" w:cs="Arial"/>
          <w:bCs/>
          <w:sz w:val="22"/>
          <w:szCs w:val="22"/>
        </w:rPr>
      </w:pPr>
      <w:bookmarkStart w:id="25" w:name="OLE_LINK3"/>
      <w:bookmarkEnd w:id="23"/>
      <w:bookmarkEnd w:id="24"/>
      <w:r>
        <w:rPr>
          <w:rFonts w:ascii="Arial" w:hAnsi="Arial"/>
          <w:sz w:val="22"/>
        </w:rPr>
        <w:t>Imagen 1:</w:t>
      </w:r>
    </w:p>
    <w:p w14:paraId="1E6BD206" w14:textId="75403525" w:rsidR="00155FF9" w:rsidRPr="007A66BD" w:rsidRDefault="0004405A" w:rsidP="00CA007E">
      <w:pPr>
        <w:spacing w:after="120" w:line="360" w:lineRule="auto"/>
        <w:rPr>
          <w:rFonts w:ascii="Arial" w:hAnsi="Arial" w:cs="Arial"/>
          <w:bCs/>
          <w:sz w:val="22"/>
          <w:szCs w:val="22"/>
        </w:rPr>
      </w:pPr>
      <w:r>
        <w:rPr>
          <w:rFonts w:ascii="Arial" w:hAnsi="Arial"/>
          <w:sz w:val="22"/>
        </w:rPr>
        <w:t>Vertipour es el primer portamoldes del mundo para el encapsulamiento vertical de vidrio con poliuretano (Imagen: BBG).</w:t>
      </w:r>
    </w:p>
    <w:bookmarkEnd w:id="25"/>
    <w:p w14:paraId="4F9D6A1B" w14:textId="77777777" w:rsidR="00AB552B" w:rsidRDefault="00AB552B" w:rsidP="0004405A">
      <w:pPr>
        <w:spacing w:after="120" w:line="360" w:lineRule="auto"/>
        <w:rPr>
          <w:rFonts w:ascii="Arial" w:hAnsi="Arial" w:cs="Arial"/>
          <w:bCs/>
          <w:sz w:val="22"/>
          <w:szCs w:val="22"/>
        </w:rPr>
      </w:pPr>
      <w:r>
        <w:rPr>
          <w:rFonts w:ascii="Arial" w:hAnsi="Arial"/>
          <w:noProof/>
          <w:color w:val="EE0000"/>
          <w:sz w:val="22"/>
        </w:rPr>
        <w:lastRenderedPageBreak/>
        <w:drawing>
          <wp:inline distT="0" distB="0" distL="0" distR="0" wp14:anchorId="1222953D" wp14:editId="600FDB67">
            <wp:extent cx="3441700" cy="5164775"/>
            <wp:effectExtent l="0" t="0" r="0" b="4445"/>
            <wp:docPr id="46120108" name="Grafik 1" descr="Ein Bild, das Menschliches Gesicht, Person, Lächel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20108" name="Grafik 1" descr="Ein Bild, das Menschliches Gesicht, Person, Lächeln, Shirt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3443055" cy="5166808"/>
                    </a:xfrm>
                    <a:prstGeom prst="rect">
                      <a:avLst/>
                    </a:prstGeom>
                  </pic:spPr>
                </pic:pic>
              </a:graphicData>
            </a:graphic>
          </wp:inline>
        </w:drawing>
      </w:r>
    </w:p>
    <w:p w14:paraId="60728B21" w14:textId="007CD253" w:rsidR="0004405A" w:rsidRPr="0071663D" w:rsidRDefault="0004405A" w:rsidP="0004405A">
      <w:pPr>
        <w:spacing w:after="120" w:line="360" w:lineRule="auto"/>
        <w:rPr>
          <w:rFonts w:ascii="Arial" w:hAnsi="Arial" w:cs="Arial"/>
          <w:bCs/>
          <w:sz w:val="22"/>
          <w:szCs w:val="22"/>
        </w:rPr>
      </w:pPr>
      <w:r>
        <w:rPr>
          <w:rFonts w:ascii="Arial" w:hAnsi="Arial"/>
          <w:sz w:val="22"/>
        </w:rPr>
        <w:t>Imagen 2:</w:t>
      </w:r>
    </w:p>
    <w:p w14:paraId="25505B2A" w14:textId="27A9147C" w:rsidR="0004405A" w:rsidRPr="007A66BD" w:rsidRDefault="005B5AD2" w:rsidP="0004405A">
      <w:pPr>
        <w:spacing w:after="120" w:line="360" w:lineRule="auto"/>
        <w:rPr>
          <w:rFonts w:ascii="Arial" w:hAnsi="Arial" w:cs="Arial"/>
          <w:bCs/>
          <w:sz w:val="22"/>
          <w:szCs w:val="22"/>
        </w:rPr>
      </w:pPr>
      <w:r>
        <w:rPr>
          <w:rFonts w:ascii="Arial" w:hAnsi="Arial"/>
          <w:sz w:val="22"/>
        </w:rPr>
        <w:t>Bernhard Satzger</w:t>
      </w:r>
      <w:r w:rsidR="00311567">
        <w:rPr>
          <w:rFonts w:ascii="Arial" w:hAnsi="Arial"/>
          <w:sz w:val="22"/>
        </w:rPr>
        <w:t>,</w:t>
      </w:r>
      <w:r>
        <w:rPr>
          <w:rFonts w:ascii="Arial" w:hAnsi="Arial"/>
          <w:sz w:val="22"/>
        </w:rPr>
        <w:t xml:space="preserve"> </w:t>
      </w:r>
      <w:r w:rsidR="00311567">
        <w:rPr>
          <w:rFonts w:ascii="Arial" w:hAnsi="Arial"/>
          <w:sz w:val="22"/>
        </w:rPr>
        <w:t>d</w:t>
      </w:r>
      <w:r>
        <w:rPr>
          <w:rFonts w:ascii="Arial" w:hAnsi="Arial"/>
          <w:sz w:val="22"/>
        </w:rPr>
        <w:t xml:space="preserve">irector del proyecto </w:t>
      </w:r>
      <w:bookmarkStart w:id="26" w:name="OLE_LINK26"/>
      <w:r>
        <w:rPr>
          <w:rFonts w:ascii="Arial" w:hAnsi="Arial"/>
          <w:sz w:val="22"/>
        </w:rPr>
        <w:t xml:space="preserve">Vertipour </w:t>
      </w:r>
      <w:bookmarkEnd w:id="26"/>
      <w:r>
        <w:rPr>
          <w:rFonts w:ascii="Arial" w:hAnsi="Arial"/>
          <w:sz w:val="22"/>
        </w:rPr>
        <w:t>(Imagen: BBG).</w:t>
      </w:r>
    </w:p>
    <w:p w14:paraId="06EE5699" w14:textId="77777777" w:rsidR="00AB552B" w:rsidRPr="00384F19" w:rsidRDefault="00AB552B" w:rsidP="00CA007E">
      <w:pPr>
        <w:spacing w:after="120" w:line="360" w:lineRule="auto"/>
        <w:rPr>
          <w:rFonts w:ascii="Arial" w:hAnsi="Arial" w:cs="Arial"/>
          <w:bCs/>
          <w:sz w:val="22"/>
          <w:szCs w:val="22"/>
        </w:rPr>
      </w:pPr>
    </w:p>
    <w:p w14:paraId="70F7F633" w14:textId="097A56D0" w:rsidR="00917010" w:rsidRDefault="005A1960" w:rsidP="00917010">
      <w:pPr>
        <w:widowControl w:val="0"/>
        <w:autoSpaceDE w:val="0"/>
        <w:autoSpaceDN w:val="0"/>
        <w:adjustRightInd w:val="0"/>
        <w:spacing w:after="120" w:line="360" w:lineRule="auto"/>
      </w:pPr>
      <w:bookmarkStart w:id="27" w:name="OLE_LINK10"/>
      <w:bookmarkStart w:id="28" w:name="OLE_LINK9"/>
      <w:r>
        <w:rPr>
          <w:rFonts w:ascii="Arial" w:hAnsi="Arial"/>
          <w:b/>
          <w:sz w:val="22"/>
        </w:rPr>
        <w:t>Puede descargarse el texto del comunicado de prensa en forma de documento de Word y las fotos con calidad de impresión aquí:</w:t>
      </w:r>
      <w:r w:rsidR="006F6B96">
        <w:rPr>
          <w:rFonts w:ascii="Arial" w:hAnsi="Arial"/>
          <w:b/>
          <w:sz w:val="22"/>
        </w:rPr>
        <w:t xml:space="preserve"> </w:t>
      </w:r>
      <w:hyperlink r:id="rId11" w:history="1">
        <w:r w:rsidR="00AF66C8" w:rsidRPr="00524570">
          <w:rPr>
            <w:rStyle w:val="Hyperlink"/>
            <w:rFonts w:ascii="Arial" w:hAnsi="Arial"/>
            <w:b/>
            <w:sz w:val="22"/>
          </w:rPr>
          <w:t>https://www.auchkomm.com/aktuellepressetexte#PI_640</w:t>
        </w:r>
      </w:hyperlink>
      <w:r w:rsidR="00AF66C8">
        <w:rPr>
          <w:rFonts w:ascii="Arial" w:hAnsi="Arial"/>
          <w:b/>
          <w:sz w:val="22"/>
        </w:rPr>
        <w:t xml:space="preserve"> </w:t>
      </w:r>
    </w:p>
    <w:p w14:paraId="688500AF" w14:textId="798F6C6B" w:rsidR="003C1D86" w:rsidRDefault="005A1960" w:rsidP="00CA007E">
      <w:pPr>
        <w:pBdr>
          <w:top w:val="single" w:sz="4" w:space="1" w:color="000000"/>
        </w:pBdr>
        <w:spacing w:after="120" w:line="360" w:lineRule="auto"/>
        <w:outlineLvl w:val="0"/>
        <w:rPr>
          <w:rFonts w:ascii="Arial" w:hAnsi="Arial" w:cs="Arial"/>
          <w:b/>
          <w:sz w:val="22"/>
          <w:szCs w:val="22"/>
        </w:rPr>
      </w:pPr>
      <w:bookmarkStart w:id="29" w:name="OLE_LINK50"/>
      <w:r>
        <w:rPr>
          <w:rFonts w:ascii="Arial" w:hAnsi="Arial"/>
          <w:b/>
          <w:sz w:val="22"/>
        </w:rPr>
        <w:t>Persona de contacto:</w:t>
      </w:r>
    </w:p>
    <w:p w14:paraId="51782745" w14:textId="7750B444" w:rsidR="003C1D86" w:rsidRDefault="005A1960" w:rsidP="00CA007E">
      <w:pPr>
        <w:spacing w:after="120" w:line="360" w:lineRule="auto"/>
        <w:rPr>
          <w:rFonts w:ascii="Arial" w:hAnsi="Arial" w:cs="Arial"/>
          <w:sz w:val="22"/>
          <w:szCs w:val="22"/>
        </w:rPr>
      </w:pPr>
      <w:r>
        <w:rPr>
          <w:rFonts w:ascii="Arial" w:hAnsi="Arial"/>
          <w:sz w:val="22"/>
        </w:rPr>
        <w:t xml:space="preserve">BBG GmbH &amp; Co. KG </w:t>
      </w:r>
    </w:p>
    <w:p w14:paraId="098758E9" w14:textId="77777777" w:rsidR="003C1D86" w:rsidRDefault="005A1960" w:rsidP="00CA007E">
      <w:pPr>
        <w:spacing w:after="120" w:line="360" w:lineRule="auto"/>
        <w:rPr>
          <w:rFonts w:ascii="Arial" w:hAnsi="Arial" w:cs="Arial"/>
          <w:sz w:val="22"/>
          <w:szCs w:val="22"/>
        </w:rPr>
      </w:pPr>
      <w:r>
        <w:rPr>
          <w:rFonts w:ascii="Arial" w:hAnsi="Arial"/>
          <w:sz w:val="22"/>
        </w:rPr>
        <w:t>Heimenegger Weg 12, D-87719 Mindelheim</w:t>
      </w:r>
    </w:p>
    <w:p w14:paraId="286AAA21" w14:textId="61186863" w:rsidR="003C1D86" w:rsidRPr="00C831CD" w:rsidRDefault="005A1960" w:rsidP="00CA007E">
      <w:pPr>
        <w:spacing w:after="120" w:line="360" w:lineRule="auto"/>
        <w:rPr>
          <w:rFonts w:ascii="Arial" w:hAnsi="Arial" w:cs="Arial"/>
          <w:sz w:val="22"/>
          <w:szCs w:val="22"/>
        </w:rPr>
      </w:pPr>
      <w:r>
        <w:rPr>
          <w:rFonts w:ascii="Arial" w:hAnsi="Arial"/>
          <w:sz w:val="22"/>
        </w:rPr>
        <w:t xml:space="preserve">Martina Barton, Teléfono 08261 7633-23, Correo electrónico: </w:t>
      </w:r>
      <w:hyperlink r:id="rId12">
        <w:r>
          <w:rPr>
            <w:rStyle w:val="Internetverknpfung"/>
            <w:rFonts w:ascii="Arial" w:hAnsi="Arial"/>
            <w:sz w:val="22"/>
          </w:rPr>
          <w:t>martina.barton@bbg-mbh.com</w:t>
        </w:r>
      </w:hyperlink>
      <w:r>
        <w:rPr>
          <w:rFonts w:ascii="Arial" w:hAnsi="Arial"/>
          <w:sz w:val="22"/>
        </w:rPr>
        <w:t xml:space="preserve"> </w:t>
      </w:r>
    </w:p>
    <w:p w14:paraId="1F0D7268" w14:textId="0069793B" w:rsidR="003C1D86" w:rsidRDefault="005A1960" w:rsidP="00CA007E">
      <w:pPr>
        <w:spacing w:after="120" w:line="360" w:lineRule="auto"/>
        <w:rPr>
          <w:rFonts w:ascii="Arial" w:hAnsi="Arial" w:cs="Arial"/>
          <w:sz w:val="22"/>
          <w:szCs w:val="22"/>
        </w:rPr>
      </w:pPr>
      <w:r>
        <w:rPr>
          <w:rFonts w:ascii="Arial" w:hAnsi="Arial"/>
          <w:sz w:val="22"/>
        </w:rPr>
        <w:t xml:space="preserve">Encontrará más información en </w:t>
      </w:r>
      <w:hyperlink r:id="rId13">
        <w:r>
          <w:rPr>
            <w:rStyle w:val="Internetverknpfung"/>
            <w:rFonts w:ascii="Arial" w:hAnsi="Arial"/>
            <w:sz w:val="22"/>
          </w:rPr>
          <w:t>www.bbg-mbh.com</w:t>
        </w:r>
      </w:hyperlink>
      <w:r>
        <w:rPr>
          <w:rFonts w:ascii="Arial" w:hAnsi="Arial"/>
          <w:sz w:val="22"/>
        </w:rPr>
        <w:t xml:space="preserve">. </w:t>
      </w:r>
    </w:p>
    <w:bookmarkEnd w:id="27"/>
    <w:bookmarkEnd w:id="28"/>
    <w:bookmarkEnd w:id="29"/>
    <w:p w14:paraId="5776285E" w14:textId="3C2BA500" w:rsidR="00E54069" w:rsidRPr="009219FD" w:rsidRDefault="00E54069" w:rsidP="00CA007E">
      <w:pPr>
        <w:spacing w:before="120" w:after="120" w:line="360" w:lineRule="auto"/>
        <w:outlineLvl w:val="0"/>
        <w:rPr>
          <w:rFonts w:ascii="Arial" w:hAnsi="Arial" w:cs="Arial"/>
          <w:b/>
          <w:sz w:val="22"/>
          <w:szCs w:val="22"/>
          <w:lang w:val="de-DE"/>
        </w:rPr>
      </w:pPr>
      <w:r w:rsidRPr="009219FD">
        <w:rPr>
          <w:rFonts w:ascii="Arial" w:hAnsi="Arial"/>
          <w:b/>
          <w:sz w:val="22"/>
          <w:lang w:val="de-DE"/>
        </w:rPr>
        <w:t>Solicitar copias:</w:t>
      </w:r>
    </w:p>
    <w:p w14:paraId="5752AFE6" w14:textId="1E028F8B" w:rsidR="00C6390C" w:rsidRPr="0072209A" w:rsidRDefault="00E54069" w:rsidP="00CA007E">
      <w:pPr>
        <w:spacing w:after="120" w:line="360" w:lineRule="auto"/>
        <w:rPr>
          <w:rFonts w:ascii="Arial" w:hAnsi="Arial" w:cs="Arial"/>
          <w:sz w:val="22"/>
          <w:szCs w:val="22"/>
          <w:lang w:val="de-DE"/>
        </w:rPr>
      </w:pPr>
      <w:r w:rsidRPr="009219FD">
        <w:rPr>
          <w:rFonts w:ascii="Arial" w:hAnsi="Arial"/>
          <w:sz w:val="22"/>
          <w:lang w:val="de-DE"/>
        </w:rPr>
        <w:t xml:space="preserve">auchkomm Unternehmenskommunikation, F. Stephan Auch, Hochstr. </w:t>
      </w:r>
      <w:r w:rsidRPr="0072209A">
        <w:rPr>
          <w:rFonts w:ascii="Arial" w:hAnsi="Arial"/>
          <w:sz w:val="22"/>
          <w:lang w:val="de-DE"/>
        </w:rPr>
        <w:t xml:space="preserve">11, D-90429 Nürnberg, </w:t>
      </w:r>
      <w:hyperlink r:id="rId14">
        <w:r w:rsidRPr="0072209A">
          <w:rPr>
            <w:rStyle w:val="Internetverknpfung"/>
            <w:rFonts w:ascii="Arial" w:hAnsi="Arial"/>
            <w:sz w:val="22"/>
            <w:lang w:val="de-DE"/>
          </w:rPr>
          <w:t>fsa@auchkomm.de</w:t>
        </w:r>
      </w:hyperlink>
      <w:r w:rsidRPr="0072209A">
        <w:rPr>
          <w:rFonts w:ascii="Arial" w:hAnsi="Arial"/>
          <w:sz w:val="22"/>
          <w:lang w:val="de-DE"/>
        </w:rPr>
        <w:t xml:space="preserve">, </w:t>
      </w:r>
      <w:hyperlink r:id="rId15">
        <w:r w:rsidRPr="0072209A">
          <w:rPr>
            <w:rStyle w:val="Internetverknpfung"/>
            <w:rFonts w:ascii="Arial" w:hAnsi="Arial"/>
            <w:sz w:val="22"/>
            <w:lang w:val="de-DE"/>
          </w:rPr>
          <w:t>www.auchkomm.de</w:t>
        </w:r>
      </w:hyperlink>
      <w:r w:rsidRPr="0072209A">
        <w:rPr>
          <w:rFonts w:ascii="Arial" w:hAnsi="Arial"/>
          <w:sz w:val="22"/>
          <w:lang w:val="de-DE"/>
        </w:rPr>
        <w:t xml:space="preserve">. </w:t>
      </w:r>
      <w:bookmarkEnd w:id="0"/>
      <w:bookmarkEnd w:id="6"/>
      <w:bookmarkEnd w:id="7"/>
    </w:p>
    <w:sectPr w:rsidR="00C6390C" w:rsidRPr="0072209A" w:rsidSect="00CC65A4">
      <w:headerReference w:type="even" r:id="rId16"/>
      <w:headerReference w:type="default" r:id="rId17"/>
      <w:footerReference w:type="even" r:id="rId18"/>
      <w:footerReference w:type="default" r:id="rId19"/>
      <w:headerReference w:type="first" r:id="rId20"/>
      <w:footerReference w:type="first" r:id="rId21"/>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03F03" w14:textId="77777777" w:rsidR="00D809CA" w:rsidRDefault="00D809CA">
      <w:r>
        <w:separator/>
      </w:r>
    </w:p>
  </w:endnote>
  <w:endnote w:type="continuationSeparator" w:id="0">
    <w:p w14:paraId="5171B03D" w14:textId="77777777" w:rsidR="00D809CA" w:rsidRDefault="00D80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387D7008" w:rsidR="00B92C9B" w:rsidRPr="00CC65A4" w:rsidRDefault="00CC65A4" w:rsidP="00CC65A4">
    <w:pPr>
      <w:pStyle w:val="Fuzeile"/>
      <w:jc w:val="center"/>
      <w:rPr>
        <w:sz w:val="20"/>
        <w:szCs w:val="20"/>
      </w:rPr>
    </w:pPr>
    <w:r>
      <w:rPr>
        <w:sz w:val="20"/>
      </w:rPr>
      <w:t xml:space="preserve">Página </w:t>
    </w:r>
    <w:r w:rsidRPr="00CC65A4">
      <w:rPr>
        <w:b/>
        <w:sz w:val="20"/>
      </w:rPr>
      <w:fldChar w:fldCharType="begin"/>
    </w:r>
    <w:r w:rsidRPr="00CC65A4">
      <w:rPr>
        <w:b/>
        <w:sz w:val="20"/>
      </w:rPr>
      <w:instrText>PAGE  \* Arabic  \* MERGEFORMAT</w:instrText>
    </w:r>
    <w:r w:rsidRPr="00CC65A4">
      <w:rPr>
        <w:b/>
        <w:sz w:val="20"/>
      </w:rPr>
      <w:fldChar w:fldCharType="separate"/>
    </w:r>
    <w:r w:rsidR="002E78EF">
      <w:rPr>
        <w:b/>
        <w:sz w:val="20"/>
      </w:rPr>
      <w:t>1</w:t>
    </w:r>
    <w:r w:rsidRPr="00CC65A4">
      <w:rPr>
        <w:b/>
        <w:sz w:val="20"/>
      </w:rPr>
      <w:fldChar w:fldCharType="end"/>
    </w:r>
    <w:r>
      <w:rPr>
        <w:sz w:val="20"/>
      </w:rPr>
      <w:t xml:space="preserve"> de </w:t>
    </w:r>
    <w:r w:rsidRPr="00CC65A4">
      <w:rPr>
        <w:b/>
        <w:sz w:val="20"/>
      </w:rPr>
      <w:fldChar w:fldCharType="begin"/>
    </w:r>
    <w:r w:rsidRPr="00CC65A4">
      <w:rPr>
        <w:b/>
        <w:sz w:val="20"/>
      </w:rPr>
      <w:instrText>NUMPAGES  \* Arabic  \* MERGEFORMAT</w:instrText>
    </w:r>
    <w:r w:rsidRPr="00CC65A4">
      <w:rPr>
        <w:b/>
        <w:sz w:val="20"/>
      </w:rPr>
      <w:fldChar w:fldCharType="separate"/>
    </w:r>
    <w:r w:rsidR="002E78EF">
      <w:rPr>
        <w:b/>
        <w:sz w:val="20"/>
      </w:rPr>
      <w:t>6</w:t>
    </w:r>
    <w:r w:rsidRPr="00CC65A4">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E598E" w14:textId="77777777" w:rsidR="00D809CA" w:rsidRDefault="00D809CA">
      <w:r>
        <w:separator/>
      </w:r>
    </w:p>
  </w:footnote>
  <w:footnote w:type="continuationSeparator" w:id="0">
    <w:p w14:paraId="3F76A6E5" w14:textId="77777777" w:rsidR="00D809CA" w:rsidRDefault="00D809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BF0C17"/>
    <w:multiLevelType w:val="multilevel"/>
    <w:tmpl w:val="FF86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A6DCE"/>
    <w:multiLevelType w:val="multilevel"/>
    <w:tmpl w:val="89C0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03F3DA6"/>
    <w:multiLevelType w:val="multilevel"/>
    <w:tmpl w:val="985A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2B5ABA"/>
    <w:multiLevelType w:val="multilevel"/>
    <w:tmpl w:val="AA84F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7519311">
    <w:abstractNumId w:val="0"/>
  </w:num>
  <w:num w:numId="2" w16cid:durableId="1454054899">
    <w:abstractNumId w:val="3"/>
  </w:num>
  <w:num w:numId="3" w16cid:durableId="1452364251">
    <w:abstractNumId w:val="4"/>
  </w:num>
  <w:num w:numId="4" w16cid:durableId="1511021795">
    <w:abstractNumId w:val="6"/>
  </w:num>
  <w:num w:numId="5" w16cid:durableId="1982340296">
    <w:abstractNumId w:val="2"/>
  </w:num>
  <w:num w:numId="6" w16cid:durableId="604535259">
    <w:abstractNumId w:val="1"/>
  </w:num>
  <w:num w:numId="7" w16cid:durableId="1036924449">
    <w:abstractNumId w:val="5"/>
  </w:num>
  <w:num w:numId="8" w16cid:durableId="9764494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29A9"/>
    <w:rsid w:val="0000681A"/>
    <w:rsid w:val="00015E42"/>
    <w:rsid w:val="000273B4"/>
    <w:rsid w:val="0004228C"/>
    <w:rsid w:val="0004405A"/>
    <w:rsid w:val="000510AE"/>
    <w:rsid w:val="000605C5"/>
    <w:rsid w:val="0006080A"/>
    <w:rsid w:val="00060CC3"/>
    <w:rsid w:val="00060F65"/>
    <w:rsid w:val="00065E21"/>
    <w:rsid w:val="00073172"/>
    <w:rsid w:val="000732F5"/>
    <w:rsid w:val="00073D87"/>
    <w:rsid w:val="00074CC5"/>
    <w:rsid w:val="00076AB6"/>
    <w:rsid w:val="000848CB"/>
    <w:rsid w:val="00084DC4"/>
    <w:rsid w:val="00093BD7"/>
    <w:rsid w:val="000A0FCB"/>
    <w:rsid w:val="000A48BC"/>
    <w:rsid w:val="000A79CE"/>
    <w:rsid w:val="000C4DA4"/>
    <w:rsid w:val="000D0425"/>
    <w:rsid w:val="000D28A5"/>
    <w:rsid w:val="000D3C15"/>
    <w:rsid w:val="000D5986"/>
    <w:rsid w:val="000E3F2C"/>
    <w:rsid w:val="000E4151"/>
    <w:rsid w:val="000F68CA"/>
    <w:rsid w:val="0010268B"/>
    <w:rsid w:val="00105E48"/>
    <w:rsid w:val="00107B3A"/>
    <w:rsid w:val="00111D96"/>
    <w:rsid w:val="00111EBC"/>
    <w:rsid w:val="001146CB"/>
    <w:rsid w:val="00115DEE"/>
    <w:rsid w:val="00116B69"/>
    <w:rsid w:val="00135917"/>
    <w:rsid w:val="00140CBF"/>
    <w:rsid w:val="001508B1"/>
    <w:rsid w:val="001547A5"/>
    <w:rsid w:val="00154E5B"/>
    <w:rsid w:val="00155FF9"/>
    <w:rsid w:val="00157036"/>
    <w:rsid w:val="00157834"/>
    <w:rsid w:val="00165170"/>
    <w:rsid w:val="00183071"/>
    <w:rsid w:val="00190292"/>
    <w:rsid w:val="0019131A"/>
    <w:rsid w:val="001928B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423B"/>
    <w:rsid w:val="002169A0"/>
    <w:rsid w:val="002304A0"/>
    <w:rsid w:val="002402A9"/>
    <w:rsid w:val="00241CEF"/>
    <w:rsid w:val="0024377B"/>
    <w:rsid w:val="00244813"/>
    <w:rsid w:val="0024569E"/>
    <w:rsid w:val="00252204"/>
    <w:rsid w:val="00254E5C"/>
    <w:rsid w:val="0026530F"/>
    <w:rsid w:val="002705C7"/>
    <w:rsid w:val="002707D3"/>
    <w:rsid w:val="002723B8"/>
    <w:rsid w:val="00272CA1"/>
    <w:rsid w:val="00280EFE"/>
    <w:rsid w:val="00285576"/>
    <w:rsid w:val="00287EE5"/>
    <w:rsid w:val="00292532"/>
    <w:rsid w:val="002A17CC"/>
    <w:rsid w:val="002A74C9"/>
    <w:rsid w:val="002B03AE"/>
    <w:rsid w:val="002B60FF"/>
    <w:rsid w:val="002C7B17"/>
    <w:rsid w:val="002D45BE"/>
    <w:rsid w:val="002E157D"/>
    <w:rsid w:val="002E310F"/>
    <w:rsid w:val="002E4048"/>
    <w:rsid w:val="002E4839"/>
    <w:rsid w:val="002E4EA2"/>
    <w:rsid w:val="002E59E8"/>
    <w:rsid w:val="002E78EF"/>
    <w:rsid w:val="002F202F"/>
    <w:rsid w:val="002F52BF"/>
    <w:rsid w:val="002F562D"/>
    <w:rsid w:val="00302ACE"/>
    <w:rsid w:val="00304457"/>
    <w:rsid w:val="003066E0"/>
    <w:rsid w:val="003114F4"/>
    <w:rsid w:val="00311567"/>
    <w:rsid w:val="00312F2C"/>
    <w:rsid w:val="00315E8A"/>
    <w:rsid w:val="00320136"/>
    <w:rsid w:val="00331875"/>
    <w:rsid w:val="003325CB"/>
    <w:rsid w:val="00336F51"/>
    <w:rsid w:val="003411CC"/>
    <w:rsid w:val="0034225C"/>
    <w:rsid w:val="00350996"/>
    <w:rsid w:val="0035321B"/>
    <w:rsid w:val="00360D5D"/>
    <w:rsid w:val="00363492"/>
    <w:rsid w:val="003642C0"/>
    <w:rsid w:val="0036633A"/>
    <w:rsid w:val="003713E6"/>
    <w:rsid w:val="00372E46"/>
    <w:rsid w:val="0037439A"/>
    <w:rsid w:val="00374CB2"/>
    <w:rsid w:val="0038047E"/>
    <w:rsid w:val="00383085"/>
    <w:rsid w:val="00384F19"/>
    <w:rsid w:val="003876D5"/>
    <w:rsid w:val="0039028B"/>
    <w:rsid w:val="00391E71"/>
    <w:rsid w:val="00395CB2"/>
    <w:rsid w:val="00396AFA"/>
    <w:rsid w:val="00396F23"/>
    <w:rsid w:val="00397725"/>
    <w:rsid w:val="003A2A42"/>
    <w:rsid w:val="003C1D86"/>
    <w:rsid w:val="003C2E46"/>
    <w:rsid w:val="003D5FF7"/>
    <w:rsid w:val="003E40CB"/>
    <w:rsid w:val="003E426B"/>
    <w:rsid w:val="003E55AD"/>
    <w:rsid w:val="003F1E09"/>
    <w:rsid w:val="003F4898"/>
    <w:rsid w:val="003F6911"/>
    <w:rsid w:val="004020DC"/>
    <w:rsid w:val="00403708"/>
    <w:rsid w:val="0040445E"/>
    <w:rsid w:val="00411D18"/>
    <w:rsid w:val="00417319"/>
    <w:rsid w:val="00420E90"/>
    <w:rsid w:val="00423AA9"/>
    <w:rsid w:val="00430BFF"/>
    <w:rsid w:val="004367C9"/>
    <w:rsid w:val="0045052D"/>
    <w:rsid w:val="00452026"/>
    <w:rsid w:val="00467507"/>
    <w:rsid w:val="0047222D"/>
    <w:rsid w:val="004722E1"/>
    <w:rsid w:val="00474DC6"/>
    <w:rsid w:val="00492F48"/>
    <w:rsid w:val="00494D06"/>
    <w:rsid w:val="004958DE"/>
    <w:rsid w:val="0049710A"/>
    <w:rsid w:val="004A1C12"/>
    <w:rsid w:val="004A3B48"/>
    <w:rsid w:val="004B369A"/>
    <w:rsid w:val="004B7D06"/>
    <w:rsid w:val="004C2B70"/>
    <w:rsid w:val="004C340E"/>
    <w:rsid w:val="004D1B17"/>
    <w:rsid w:val="004D1C81"/>
    <w:rsid w:val="004D49EC"/>
    <w:rsid w:val="004D72C0"/>
    <w:rsid w:val="004D7D84"/>
    <w:rsid w:val="004E3A85"/>
    <w:rsid w:val="004E5260"/>
    <w:rsid w:val="00503E76"/>
    <w:rsid w:val="0051217A"/>
    <w:rsid w:val="00513751"/>
    <w:rsid w:val="0051438B"/>
    <w:rsid w:val="00516FBB"/>
    <w:rsid w:val="005376AD"/>
    <w:rsid w:val="00542BCD"/>
    <w:rsid w:val="00544A7E"/>
    <w:rsid w:val="0054605B"/>
    <w:rsid w:val="00554F4A"/>
    <w:rsid w:val="005550EA"/>
    <w:rsid w:val="005553A9"/>
    <w:rsid w:val="00556E70"/>
    <w:rsid w:val="00561BC7"/>
    <w:rsid w:val="00570105"/>
    <w:rsid w:val="00570953"/>
    <w:rsid w:val="00572263"/>
    <w:rsid w:val="00575765"/>
    <w:rsid w:val="005838E4"/>
    <w:rsid w:val="00590FAA"/>
    <w:rsid w:val="005937AC"/>
    <w:rsid w:val="00593AF1"/>
    <w:rsid w:val="005A02F6"/>
    <w:rsid w:val="005A1960"/>
    <w:rsid w:val="005A6BCB"/>
    <w:rsid w:val="005B13F5"/>
    <w:rsid w:val="005B5AD2"/>
    <w:rsid w:val="005B6499"/>
    <w:rsid w:val="005B6C8B"/>
    <w:rsid w:val="005C0366"/>
    <w:rsid w:val="005C3ADE"/>
    <w:rsid w:val="005D12C4"/>
    <w:rsid w:val="005D1D1B"/>
    <w:rsid w:val="005D5B1C"/>
    <w:rsid w:val="005D7CEF"/>
    <w:rsid w:val="005E6112"/>
    <w:rsid w:val="005E6EAB"/>
    <w:rsid w:val="005F591D"/>
    <w:rsid w:val="0060212A"/>
    <w:rsid w:val="006039FE"/>
    <w:rsid w:val="00604670"/>
    <w:rsid w:val="00612D1C"/>
    <w:rsid w:val="00630841"/>
    <w:rsid w:val="0063367C"/>
    <w:rsid w:val="0064275F"/>
    <w:rsid w:val="00643B25"/>
    <w:rsid w:val="00652A1A"/>
    <w:rsid w:val="00653F64"/>
    <w:rsid w:val="00654524"/>
    <w:rsid w:val="00656249"/>
    <w:rsid w:val="006667A8"/>
    <w:rsid w:val="00666B14"/>
    <w:rsid w:val="00667886"/>
    <w:rsid w:val="00686277"/>
    <w:rsid w:val="006A4919"/>
    <w:rsid w:val="006B5539"/>
    <w:rsid w:val="006D0D23"/>
    <w:rsid w:val="006D1C30"/>
    <w:rsid w:val="006D39B0"/>
    <w:rsid w:val="006D50A2"/>
    <w:rsid w:val="006D6CCE"/>
    <w:rsid w:val="006D7AF4"/>
    <w:rsid w:val="006E0918"/>
    <w:rsid w:val="006F16A4"/>
    <w:rsid w:val="006F4D35"/>
    <w:rsid w:val="006F6B96"/>
    <w:rsid w:val="0070031D"/>
    <w:rsid w:val="00700587"/>
    <w:rsid w:val="007011C8"/>
    <w:rsid w:val="0070639A"/>
    <w:rsid w:val="00710529"/>
    <w:rsid w:val="00711112"/>
    <w:rsid w:val="0071663D"/>
    <w:rsid w:val="007218E5"/>
    <w:rsid w:val="0072209A"/>
    <w:rsid w:val="007278E4"/>
    <w:rsid w:val="00730DB5"/>
    <w:rsid w:val="00730F3B"/>
    <w:rsid w:val="00734F6C"/>
    <w:rsid w:val="00736E4F"/>
    <w:rsid w:val="00742C7D"/>
    <w:rsid w:val="007457FA"/>
    <w:rsid w:val="00745C18"/>
    <w:rsid w:val="00754591"/>
    <w:rsid w:val="00766CA3"/>
    <w:rsid w:val="007749E8"/>
    <w:rsid w:val="007835FE"/>
    <w:rsid w:val="007879FC"/>
    <w:rsid w:val="00790971"/>
    <w:rsid w:val="00792E71"/>
    <w:rsid w:val="007960A4"/>
    <w:rsid w:val="007A62B3"/>
    <w:rsid w:val="007A66BD"/>
    <w:rsid w:val="007B3905"/>
    <w:rsid w:val="007C67B3"/>
    <w:rsid w:val="007E1886"/>
    <w:rsid w:val="007E2576"/>
    <w:rsid w:val="007E368A"/>
    <w:rsid w:val="007F1829"/>
    <w:rsid w:val="007F6C32"/>
    <w:rsid w:val="008003D7"/>
    <w:rsid w:val="00802304"/>
    <w:rsid w:val="0080370D"/>
    <w:rsid w:val="00804459"/>
    <w:rsid w:val="00805D57"/>
    <w:rsid w:val="00812130"/>
    <w:rsid w:val="00813741"/>
    <w:rsid w:val="0081561C"/>
    <w:rsid w:val="00826C29"/>
    <w:rsid w:val="00827CC4"/>
    <w:rsid w:val="00831380"/>
    <w:rsid w:val="00835028"/>
    <w:rsid w:val="00840AC8"/>
    <w:rsid w:val="00844D39"/>
    <w:rsid w:val="00846385"/>
    <w:rsid w:val="008531CC"/>
    <w:rsid w:val="00854436"/>
    <w:rsid w:val="00855F03"/>
    <w:rsid w:val="00856D4F"/>
    <w:rsid w:val="00860F0D"/>
    <w:rsid w:val="0086219E"/>
    <w:rsid w:val="008679D7"/>
    <w:rsid w:val="008709CF"/>
    <w:rsid w:val="008820DC"/>
    <w:rsid w:val="00883C5D"/>
    <w:rsid w:val="0088526A"/>
    <w:rsid w:val="008869EF"/>
    <w:rsid w:val="00890156"/>
    <w:rsid w:val="008921B0"/>
    <w:rsid w:val="008A01E7"/>
    <w:rsid w:val="008A4633"/>
    <w:rsid w:val="008A4721"/>
    <w:rsid w:val="008A5C07"/>
    <w:rsid w:val="008A7E7B"/>
    <w:rsid w:val="008C05C8"/>
    <w:rsid w:val="008C2392"/>
    <w:rsid w:val="008C4F1F"/>
    <w:rsid w:val="008E6916"/>
    <w:rsid w:val="008F482F"/>
    <w:rsid w:val="00902F20"/>
    <w:rsid w:val="0091073E"/>
    <w:rsid w:val="00911483"/>
    <w:rsid w:val="0091155E"/>
    <w:rsid w:val="0091180E"/>
    <w:rsid w:val="0091244D"/>
    <w:rsid w:val="00914902"/>
    <w:rsid w:val="0091562C"/>
    <w:rsid w:val="00916704"/>
    <w:rsid w:val="00917010"/>
    <w:rsid w:val="009219FD"/>
    <w:rsid w:val="009220C4"/>
    <w:rsid w:val="00930067"/>
    <w:rsid w:val="0093078A"/>
    <w:rsid w:val="00934137"/>
    <w:rsid w:val="00936D83"/>
    <w:rsid w:val="00947A94"/>
    <w:rsid w:val="00951E6C"/>
    <w:rsid w:val="00961C5D"/>
    <w:rsid w:val="009635C4"/>
    <w:rsid w:val="00973B0A"/>
    <w:rsid w:val="00995734"/>
    <w:rsid w:val="009963EF"/>
    <w:rsid w:val="009A6074"/>
    <w:rsid w:val="009B52BC"/>
    <w:rsid w:val="009C1A5F"/>
    <w:rsid w:val="009D0BBD"/>
    <w:rsid w:val="009D1481"/>
    <w:rsid w:val="009D231C"/>
    <w:rsid w:val="009D548A"/>
    <w:rsid w:val="009D7B9F"/>
    <w:rsid w:val="009F01C3"/>
    <w:rsid w:val="009F27E0"/>
    <w:rsid w:val="009F46BA"/>
    <w:rsid w:val="009F4BA6"/>
    <w:rsid w:val="009F5FE7"/>
    <w:rsid w:val="00A01F5C"/>
    <w:rsid w:val="00A033BA"/>
    <w:rsid w:val="00A06A65"/>
    <w:rsid w:val="00A15541"/>
    <w:rsid w:val="00A2082F"/>
    <w:rsid w:val="00A21118"/>
    <w:rsid w:val="00A27A30"/>
    <w:rsid w:val="00A33384"/>
    <w:rsid w:val="00A42776"/>
    <w:rsid w:val="00A44A03"/>
    <w:rsid w:val="00A532F1"/>
    <w:rsid w:val="00A67D8E"/>
    <w:rsid w:val="00A758D1"/>
    <w:rsid w:val="00A83779"/>
    <w:rsid w:val="00A86C23"/>
    <w:rsid w:val="00AA455F"/>
    <w:rsid w:val="00AB552B"/>
    <w:rsid w:val="00AB6F27"/>
    <w:rsid w:val="00AC0415"/>
    <w:rsid w:val="00AC3580"/>
    <w:rsid w:val="00AC4A53"/>
    <w:rsid w:val="00AD0891"/>
    <w:rsid w:val="00AD2331"/>
    <w:rsid w:val="00AE1494"/>
    <w:rsid w:val="00AF0857"/>
    <w:rsid w:val="00AF1C9B"/>
    <w:rsid w:val="00AF4B8B"/>
    <w:rsid w:val="00AF51EC"/>
    <w:rsid w:val="00AF66C8"/>
    <w:rsid w:val="00B146FC"/>
    <w:rsid w:val="00B23D07"/>
    <w:rsid w:val="00B246A7"/>
    <w:rsid w:val="00B3347D"/>
    <w:rsid w:val="00B412F9"/>
    <w:rsid w:val="00B52657"/>
    <w:rsid w:val="00B57C6C"/>
    <w:rsid w:val="00B603B1"/>
    <w:rsid w:val="00B63EF2"/>
    <w:rsid w:val="00B642DF"/>
    <w:rsid w:val="00B85763"/>
    <w:rsid w:val="00B92C90"/>
    <w:rsid w:val="00B92C9B"/>
    <w:rsid w:val="00B94100"/>
    <w:rsid w:val="00B95BA2"/>
    <w:rsid w:val="00B9765C"/>
    <w:rsid w:val="00BA3276"/>
    <w:rsid w:val="00BA7201"/>
    <w:rsid w:val="00BB10E6"/>
    <w:rsid w:val="00BB7700"/>
    <w:rsid w:val="00BC34D9"/>
    <w:rsid w:val="00BD0DB0"/>
    <w:rsid w:val="00BD32CE"/>
    <w:rsid w:val="00BE0302"/>
    <w:rsid w:val="00BE22F9"/>
    <w:rsid w:val="00BE2C65"/>
    <w:rsid w:val="00BE3318"/>
    <w:rsid w:val="00BE344C"/>
    <w:rsid w:val="00BF1CA1"/>
    <w:rsid w:val="00BF4332"/>
    <w:rsid w:val="00BF4F64"/>
    <w:rsid w:val="00C03B0E"/>
    <w:rsid w:val="00C05CED"/>
    <w:rsid w:val="00C06176"/>
    <w:rsid w:val="00C11B8F"/>
    <w:rsid w:val="00C12237"/>
    <w:rsid w:val="00C1347E"/>
    <w:rsid w:val="00C13C4E"/>
    <w:rsid w:val="00C263CB"/>
    <w:rsid w:val="00C41508"/>
    <w:rsid w:val="00C46FC1"/>
    <w:rsid w:val="00C4798B"/>
    <w:rsid w:val="00C479A9"/>
    <w:rsid w:val="00C50843"/>
    <w:rsid w:val="00C53186"/>
    <w:rsid w:val="00C54EA5"/>
    <w:rsid w:val="00C60F55"/>
    <w:rsid w:val="00C6390C"/>
    <w:rsid w:val="00C67EF0"/>
    <w:rsid w:val="00C74BF1"/>
    <w:rsid w:val="00C80B16"/>
    <w:rsid w:val="00C831CD"/>
    <w:rsid w:val="00C91316"/>
    <w:rsid w:val="00CA007E"/>
    <w:rsid w:val="00CC3228"/>
    <w:rsid w:val="00CC65A4"/>
    <w:rsid w:val="00CC698D"/>
    <w:rsid w:val="00CD157A"/>
    <w:rsid w:val="00CD391D"/>
    <w:rsid w:val="00CD6438"/>
    <w:rsid w:val="00CD6BE1"/>
    <w:rsid w:val="00CE1216"/>
    <w:rsid w:val="00CE5F1D"/>
    <w:rsid w:val="00CF277E"/>
    <w:rsid w:val="00D04A34"/>
    <w:rsid w:val="00D13DD4"/>
    <w:rsid w:val="00D1484D"/>
    <w:rsid w:val="00D51206"/>
    <w:rsid w:val="00D56BB8"/>
    <w:rsid w:val="00D575D2"/>
    <w:rsid w:val="00D62228"/>
    <w:rsid w:val="00D679D7"/>
    <w:rsid w:val="00D7087E"/>
    <w:rsid w:val="00D7729F"/>
    <w:rsid w:val="00D809CA"/>
    <w:rsid w:val="00D84F63"/>
    <w:rsid w:val="00D94DE8"/>
    <w:rsid w:val="00D950F4"/>
    <w:rsid w:val="00DA27BA"/>
    <w:rsid w:val="00DA44AF"/>
    <w:rsid w:val="00DA714B"/>
    <w:rsid w:val="00DB7B62"/>
    <w:rsid w:val="00DC0859"/>
    <w:rsid w:val="00DD1E28"/>
    <w:rsid w:val="00DD46B4"/>
    <w:rsid w:val="00DE4784"/>
    <w:rsid w:val="00DF55E8"/>
    <w:rsid w:val="00E00ABA"/>
    <w:rsid w:val="00E03F51"/>
    <w:rsid w:val="00E12B44"/>
    <w:rsid w:val="00E16D8A"/>
    <w:rsid w:val="00E22632"/>
    <w:rsid w:val="00E3064C"/>
    <w:rsid w:val="00E31D8A"/>
    <w:rsid w:val="00E33D91"/>
    <w:rsid w:val="00E34004"/>
    <w:rsid w:val="00E3411A"/>
    <w:rsid w:val="00E416D4"/>
    <w:rsid w:val="00E42CE3"/>
    <w:rsid w:val="00E4612B"/>
    <w:rsid w:val="00E51E70"/>
    <w:rsid w:val="00E54069"/>
    <w:rsid w:val="00E559BD"/>
    <w:rsid w:val="00E62F9C"/>
    <w:rsid w:val="00E7117D"/>
    <w:rsid w:val="00E71E33"/>
    <w:rsid w:val="00E776A4"/>
    <w:rsid w:val="00E80C14"/>
    <w:rsid w:val="00E8414E"/>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EF6C83"/>
    <w:rsid w:val="00F1145C"/>
    <w:rsid w:val="00F219A9"/>
    <w:rsid w:val="00F21C95"/>
    <w:rsid w:val="00F220F8"/>
    <w:rsid w:val="00F3406E"/>
    <w:rsid w:val="00F3457A"/>
    <w:rsid w:val="00F44697"/>
    <w:rsid w:val="00F51466"/>
    <w:rsid w:val="00F528C0"/>
    <w:rsid w:val="00F564AF"/>
    <w:rsid w:val="00F57F7A"/>
    <w:rsid w:val="00F71AEE"/>
    <w:rsid w:val="00F8116D"/>
    <w:rsid w:val="00F838A6"/>
    <w:rsid w:val="00F83D8C"/>
    <w:rsid w:val="00F901C3"/>
    <w:rsid w:val="00F901EF"/>
    <w:rsid w:val="00F91C3F"/>
    <w:rsid w:val="00F950C1"/>
    <w:rsid w:val="00F964BF"/>
    <w:rsid w:val="00F9722A"/>
    <w:rsid w:val="00FC6E77"/>
    <w:rsid w:val="00FD11C2"/>
    <w:rsid w:val="00FD4944"/>
    <w:rsid w:val="00FE13EE"/>
    <w:rsid w:val="00FE3B04"/>
    <w:rsid w:val="00FF051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AD2"/>
    <w:pPr>
      <w:suppressAutoHyphens w:val="0"/>
    </w:pPr>
    <w:rPr>
      <w:sz w:val="24"/>
      <w:szCs w:val="24"/>
    </w:rPr>
  </w:style>
  <w:style w:type="paragraph" w:styleId="berschrift1">
    <w:name w:val="heading 1"/>
    <w:basedOn w:val="Standard"/>
    <w:next w:val="Standard"/>
    <w:link w:val="berschrift1Zchn"/>
    <w:uiPriority w:val="9"/>
    <w:qFormat/>
    <w:rsid w:val="009170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customStyle="1" w:styleId="NichtaufgelsteErwhnung4">
    <w:name w:val="Nicht aufgelöste Erwähnung4"/>
    <w:basedOn w:val="Absatz-Standardschriftart"/>
    <w:uiPriority w:val="99"/>
    <w:semiHidden/>
    <w:unhideWhenUsed/>
    <w:rsid w:val="006B5539"/>
    <w:rPr>
      <w:color w:val="605E5C"/>
      <w:shd w:val="clear" w:color="auto" w:fill="E1DFDD"/>
    </w:rPr>
  </w:style>
  <w:style w:type="paragraph" w:customStyle="1" w:styleId="p1">
    <w:name w:val="p1"/>
    <w:basedOn w:val="Standard"/>
    <w:rsid w:val="003F1E09"/>
    <w:pPr>
      <w:spacing w:before="100" w:beforeAutospacing="1" w:after="100" w:afterAutospacing="1"/>
    </w:pPr>
  </w:style>
  <w:style w:type="paragraph" w:customStyle="1" w:styleId="p2">
    <w:name w:val="p2"/>
    <w:basedOn w:val="Standard"/>
    <w:rsid w:val="003F1E09"/>
    <w:pPr>
      <w:spacing w:before="100" w:beforeAutospacing="1" w:after="100" w:afterAutospacing="1"/>
    </w:pPr>
  </w:style>
  <w:style w:type="paragraph" w:customStyle="1" w:styleId="p3">
    <w:name w:val="p3"/>
    <w:basedOn w:val="Standard"/>
    <w:rsid w:val="003F1E09"/>
    <w:pPr>
      <w:spacing w:before="100" w:beforeAutospacing="1" w:after="100" w:afterAutospacing="1"/>
    </w:pPr>
  </w:style>
  <w:style w:type="character" w:customStyle="1" w:styleId="s1">
    <w:name w:val="s1"/>
    <w:basedOn w:val="Absatz-Standardschriftart"/>
    <w:rsid w:val="001146CB"/>
  </w:style>
  <w:style w:type="character" w:styleId="NichtaufgelsteErwhnung">
    <w:name w:val="Unresolved Mention"/>
    <w:basedOn w:val="Absatz-Standardschriftart"/>
    <w:uiPriority w:val="99"/>
    <w:semiHidden/>
    <w:unhideWhenUsed/>
    <w:rsid w:val="0021423B"/>
    <w:rPr>
      <w:color w:val="605E5C"/>
      <w:shd w:val="clear" w:color="auto" w:fill="E1DFDD"/>
    </w:rPr>
  </w:style>
  <w:style w:type="character" w:customStyle="1" w:styleId="berschrift1Zchn">
    <w:name w:val="Überschrift 1 Zchn"/>
    <w:basedOn w:val="Absatz-Standardschriftart"/>
    <w:link w:val="berschrift1"/>
    <w:uiPriority w:val="9"/>
    <w:rsid w:val="00917010"/>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rsid w:val="00917010"/>
    <w:rPr>
      <w:i/>
      <w:iCs/>
    </w:rPr>
  </w:style>
  <w:style w:type="character" w:customStyle="1" w:styleId="s2">
    <w:name w:val="s2"/>
    <w:basedOn w:val="Absatz-Standardschriftart"/>
    <w:rsid w:val="009C1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4713">
      <w:bodyDiv w:val="1"/>
      <w:marLeft w:val="0"/>
      <w:marRight w:val="0"/>
      <w:marTop w:val="0"/>
      <w:marBottom w:val="0"/>
      <w:divBdr>
        <w:top w:val="none" w:sz="0" w:space="0" w:color="auto"/>
        <w:left w:val="none" w:sz="0" w:space="0" w:color="auto"/>
        <w:bottom w:val="none" w:sz="0" w:space="0" w:color="auto"/>
        <w:right w:val="none" w:sz="0" w:space="0" w:color="auto"/>
      </w:divBdr>
    </w:div>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423377873">
      <w:bodyDiv w:val="1"/>
      <w:marLeft w:val="0"/>
      <w:marRight w:val="0"/>
      <w:marTop w:val="0"/>
      <w:marBottom w:val="0"/>
      <w:divBdr>
        <w:top w:val="none" w:sz="0" w:space="0" w:color="auto"/>
        <w:left w:val="none" w:sz="0" w:space="0" w:color="auto"/>
        <w:bottom w:val="none" w:sz="0" w:space="0" w:color="auto"/>
        <w:right w:val="none" w:sz="0" w:space="0" w:color="auto"/>
      </w:divBdr>
    </w:div>
    <w:div w:id="589630016">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449818279">
      <w:bodyDiv w:val="1"/>
      <w:marLeft w:val="0"/>
      <w:marRight w:val="0"/>
      <w:marTop w:val="0"/>
      <w:marBottom w:val="0"/>
      <w:divBdr>
        <w:top w:val="none" w:sz="0" w:space="0" w:color="auto"/>
        <w:left w:val="none" w:sz="0" w:space="0" w:color="auto"/>
        <w:bottom w:val="none" w:sz="0" w:space="0" w:color="auto"/>
        <w:right w:val="none" w:sz="0" w:space="0" w:color="auto"/>
      </w:divBdr>
    </w:div>
    <w:div w:id="1536039421">
      <w:bodyDiv w:val="1"/>
      <w:marLeft w:val="0"/>
      <w:marRight w:val="0"/>
      <w:marTop w:val="0"/>
      <w:marBottom w:val="0"/>
      <w:divBdr>
        <w:top w:val="none" w:sz="0" w:space="0" w:color="auto"/>
        <w:left w:val="none" w:sz="0" w:space="0" w:color="auto"/>
        <w:bottom w:val="none" w:sz="0" w:space="0" w:color="auto"/>
        <w:right w:val="none" w:sz="0" w:space="0" w:color="auto"/>
      </w:divBdr>
    </w:div>
    <w:div w:id="1536312860">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53950728">
      <w:bodyDiv w:val="1"/>
      <w:marLeft w:val="0"/>
      <w:marRight w:val="0"/>
      <w:marTop w:val="0"/>
      <w:marBottom w:val="0"/>
      <w:divBdr>
        <w:top w:val="none" w:sz="0" w:space="0" w:color="auto"/>
        <w:left w:val="none" w:sz="0" w:space="0" w:color="auto"/>
        <w:bottom w:val="none" w:sz="0" w:space="0" w:color="auto"/>
        <w:right w:val="none" w:sz="0" w:space="0" w:color="auto"/>
      </w:divBdr>
    </w:div>
    <w:div w:id="1871188185">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1918712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640"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63FCB-B8DF-42CB-9925-D3B87E4A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2025-09-30T12:02:00Z</cp:lastPrinted>
  <dcterms:created xsi:type="dcterms:W3CDTF">2025-10-19T14:52:00Z</dcterms:created>
  <dcterms:modified xsi:type="dcterms:W3CDTF">2025-10-19T14:52:00Z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